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（北京星辰黄斑病公益基金会）2022年度工作报告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北京星辰黄斑病公益基金会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53110000MJ0176195J</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京财税〔2020〕2661号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京财税〔2020〕2660号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加强黄斑病防范意识，降低致盲率，促进全民健康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开展眼睛黄斑病科普宣传、促进黄斑病方面的教学研发展、推动黄斑病防盲的眼科公益活动。</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2016-11-17</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2016年05月09日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北京市海淀区北四环西路65号海淀新技术大厦901室</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macular@yeah.net</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021-88326666</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100080</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www.huangban.org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周鹏</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021-88326666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17898805125</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roc_001@163.com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周鹏</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021-88326666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17898805125</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roc_001@163.com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周鹏</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021-88326666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17898805125</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roc_001@163.com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黎晓新</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北京恒维信会计事务所有限公司</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2023-01-19</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恒维信审字[2023]007号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本届理事会成立时间：2021-04-17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本年度共召开（1）次理事会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本基金会于2022-01-15召开（2）届（2）次理事会议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出席理事名单：黎晓新，许迅，赵明威，赵瑜，黄旅珍，周鹏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出席监事名单：白玉婧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理事会讨论了北京星辰黄斑病公益基金会2022年度的重点工作。在不断完善基金会的慈善公益项目布局，把项目做精、做细的前提下，进一步做好公益项目，充分发挥项目的社会效益，运作基金会的优秀品牌项目。同时提升专业度，推动经济和全面建设，帮助黄斑病相关社会问题的有效解决，更好的为眼病防治的社会公益事业服务。讨论并通过了今年的光明项目、继续完善薪火项目以及眼科医疗安全医疗质量研讨会（PPP）等公益项目的计划。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本基金会于2022-10-10召开（2）届（3）次理事会议
</w:t>
            </w:r>
          </w:p>
        </w:tc>
      </w:tr>
      <w:tr>
        <w:trPr>
          <w:trHeight w:val="488" w:hRule="atLeast"/>
        </w:trPr>
        <w:tc>
          <w:tcPr>
            <w:tcW w:w="5000" w:type="pct"/>
            <w:gridSpan w:val="2"/>
            <w:tcBorders>
              <w:top w:val="nil"/>
              <w:bottom w:val="nil"/>
            </w:tcBorders>
          </w:tcPr>
          <w:p>
            <w:pPr>
              <w:rPr>
                <w:sz w:val="22"/>
                <w:szCs w:val="22"/>
              </w:rPr>
            </w:pPr>
            <w:r>
              <w:t>出席理事名单：黎晓新，许迅，赵明威，赵瑜，黄旅珍，周鹏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出席监事名单：白玉婧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与会理事、监事对北京星辰黄斑病公益基金会本年度公益项目作了充分、热烈的讨论。在保证基金会履行使命的前提下，根据实际情况适当调整。基金会全体人员再接再厉，与公益伙伴保持共同成长的关系，用开放包容的心为基金会的未来搭建平台，为达成防治黄斑病、提高广大人民群众视力的使命与愿景继续努力。今年眼科医疗安全医疗质量研讨会（PPP）取圆满完成，制定了新的临床指南。光明项目与薪火项目将继续推进。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黄旅珍</w:t>
            </w:r>
          </w:p>
        </w:tc>
        <w:tc>
          <w:tcPr>
            <w:tcW w:w="437" w:type="pct"/>
          </w:tcPr>
          <w:p>
            <w:pPr>
              <w:rPr>
                <w:sz w:val="22"/>
                <w:szCs w:val="22"/>
              </w:rPr>
            </w:pPr>
            <w:r>
              <w:rPr>
                <w:sz w:val="22"/>
                <w:szCs w:val="22"/>
              </w:rPr>
              <w:t>女</w:t>
            </w:r>
            <w:r>
              <w:rPr>
                <w:rFonts w:hint="eastAsia"/>
                <w:sz w:val="22"/>
                <w:szCs w:val="22"/>
              </w:rPr>
              <w:t/>
            </w:r>
          </w:p>
        </w:tc>
        <w:tc>
          <w:tcPr>
            <w:tcW w:w="244" w:type="pct"/>
          </w:tcPr>
          <w:p>
            <w:pPr>
              <w:rPr>
                <w:sz w:val="22"/>
                <w:szCs w:val="22"/>
              </w:rPr>
            </w:pPr>
            <w:r>
              <w:rPr>
                <w:sz w:val="22"/>
                <w:szCs w:val="22"/>
              </w:rPr>
              <w:t>42213019800520082X</w:t>
            </w:r>
            <w:r>
              <w:rPr>
                <w:rFonts w:hint="eastAsia"/>
                <w:sz w:val="22"/>
                <w:szCs w:val="22"/>
              </w:rPr>
              <w:t/>
            </w:r>
            <w:r>
              <w:rPr>
                <w:sz w:val="22"/>
                <w:szCs w:val="22"/>
              </w:rPr>
              <w:t/>
            </w:r>
          </w:p>
        </w:tc>
        <w:tc>
          <w:tcPr>
            <w:tcW w:w="511" w:type="pct"/>
          </w:tcPr>
          <w:p>
            <w:pPr>
              <w:rPr>
                <w:sz w:val="22"/>
                <w:szCs w:val="22"/>
              </w:rPr>
            </w:pPr>
            <w:r>
              <w:rPr>
                <w:sz w:val="22"/>
                <w:szCs w:val="22"/>
              </w:rPr>
              <w:t>理事</w:t>
            </w:r>
          </w:p>
        </w:tc>
        <w:tc>
          <w:tcPr>
            <w:tcW w:w="263" w:type="pct"/>
          </w:tcPr>
          <w:p>
            <w:pPr>
              <w:rPr>
                <w:sz w:val="22"/>
                <w:szCs w:val="22"/>
              </w:rPr>
            </w:pPr>
            <w:r>
              <w:rPr>
                <w:sz w:val="22"/>
                <w:szCs w:val="22"/>
              </w:rPr>
              <w:t>北京大学人民医院医生</w:t>
            </w:r>
            <w:r>
              <w:rPr>
                <w:rFonts w:hint="eastAsia"/>
                <w:sz w:val="22"/>
                <w:szCs w:val="22"/>
              </w:rPr>
              <w:t/>
            </w:r>
            <w:r>
              <w:rPr>
                <w:sz w:val="22"/>
                <w:szCs w:val="22"/>
              </w:rPr>
              <w:t/>
            </w:r>
          </w:p>
        </w:tc>
        <w:tc>
          <w:tcPr>
            <w:tcW w:w="311" w:type="pct"/>
          </w:tcPr>
          <w:p>
            <w:pPr>
              <w:rPr>
                <w:sz w:val="22"/>
                <w:szCs w:val="22"/>
              </w:rPr>
            </w:pPr>
            <w:r>
              <w:rPr>
                <w:sz w:val="22"/>
                <w:szCs w:val="22"/>
              </w:rPr>
              <w:t>否</w:t>
            </w:r>
          </w:p>
        </w:tc>
        <w:tc>
          <w:tcPr>
            <w:tcW w:w="299" w:type="pct"/>
          </w:tcPr>
          <w:p>
            <w:pPr>
              <w:rPr>
                <w:sz w:val="22"/>
                <w:szCs w:val="22"/>
              </w:rPr>
            </w:pPr>
            <w:r>
              <w:rPr>
                <w:sz w:val="22"/>
                <w:szCs w:val="22"/>
              </w:rPr>
              <w:t>民主党派</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赵瑜</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142401198603240626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深圳硅基智能科技公司员工</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否</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赵明威</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110108196402272332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北京大学人民医院医生</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否</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许迅</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310109196003084813</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上海市第一人民医院医生</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否</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黎晓新</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110101195006274580</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北京大学人民医院医生</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否</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周鹏</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370982197911083871</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北京星辰黄斑病公益基金会</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否</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白玉婧</w:t>
            </w:r>
            <w:r>
              <w:rPr>
                <w:sz w:val="22"/>
                <w:szCs w:val="22"/>
              </w:rPr>
              <w:t/>
            </w:r>
            <w:r>
              <w:rPr>
                <w:rFonts w:hint="eastAsia"/>
                <w:sz w:val="22"/>
                <w:szCs w:val="22"/>
              </w:rPr>
              <w:t/>
            </w:r>
          </w:p>
        </w:tc>
        <w:tc>
          <w:tcPr>
            <w:tcW w:w="295" w:type="pct"/>
          </w:tcPr>
          <w:p>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231121198303034644</w:t>
            </w:r>
          </w:p>
        </w:tc>
        <w:tc>
          <w:tcPr>
            <w:tcW w:w="444" w:type="pct"/>
          </w:tcPr>
          <w:p>
            <w:pPr>
              <w:rPr>
                <w:sz w:val="22"/>
                <w:szCs w:val="22"/>
              </w:rPr>
            </w:pPr>
            <w:r>
              <w:rPr>
                <w:sz w:val="22"/>
                <w:szCs w:val="22"/>
              </w:rPr>
              <w:t>深圳硅基智能公司员工</w:t>
            </w:r>
            <w:r>
              <w:rPr>
                <w:rFonts w:hint="eastAsia"/>
                <w:sz w:val="22"/>
                <w:szCs w:val="22"/>
              </w:rPr>
              <w:t/>
            </w:r>
            <w:r>
              <w:rPr>
                <w:sz w:val="22"/>
                <w:szCs w:val="22"/>
              </w:rPr>
              <w:t/>
            </w:r>
          </w:p>
        </w:tc>
        <w:tc>
          <w:tcPr>
            <w:tcW w:w="323" w:type="pct"/>
          </w:tcPr>
          <w:p>
            <w:pPr>
              <w:rPr>
                <w:sz w:val="22"/>
                <w:szCs w:val="22"/>
              </w:rPr>
            </w:pPr>
            <w:r>
              <w:rPr>
                <w:sz w:val="22"/>
                <w:szCs w:val="22"/>
              </w:rPr>
              <w:t>群众</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0</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本机构共有（2）位专职工作人员情况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刘滨</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1975-04-22</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大专</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周鹏</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1979-11-08</w:t>
            </w:r>
          </w:p>
        </w:tc>
        <w:tc>
          <w:tcPr>
            <w:tcW w:w="717" w:type="pct"/>
            <w:vAlign w:val="center"/>
          </w:tcPr>
          <w:p>
            <w:pPr>
              <w:jc w:val="center"/>
              <w:rPr>
                <w:sz w:val="22"/>
                <w:szCs w:val="22"/>
              </w:rPr>
            </w:pPr>
            <w:r>
              <w:rPr>
                <w:rFonts w:ascii="宋体" w:hAnsi="宋体" w:cs="宋体" w:eastAsia="宋体"/>
                <w:sz w:val="22"/>
              </w:rPr>
              <w:t>博士</w:t>
            </w:r>
          </w:p>
        </w:tc>
        <w:tc>
          <w:tcPr>
            <w:tcW w:w="652" w:type="pct"/>
          </w:tcPr>
          <w:p>
            <w:pPr>
              <w:jc w:val="center"/>
              <w:rPr>
                <w:sz w:val="22"/>
                <w:szCs w:val="22"/>
              </w:rPr>
            </w:pPr>
            <w:r>
              <w:rPr>
                <w:rFonts w:ascii="宋体" w:hAnsi="宋体" w:cs="宋体" w:eastAsia="宋体"/>
                <w:sz w:val="22"/>
              </w:rPr>
              <w:t>是</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〇登记〇未登记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
            </w:r>
          </w:p>
        </w:tc>
        <w:tc>
          <w:tcPr>
            <w:tcW w:w="1276" w:type="dxa"/>
            <w:vAlign w:val="center"/>
          </w:tcPr>
          <w:p>
            <w:pPr>
              <w:jc w:val="center"/>
              <w:rPr>
                <w:rFonts w:ascii="宋体" w:hAnsi="宋体"/>
                <w:sz w:val="22"/>
                <w:szCs w:val="22"/>
              </w:rPr>
            </w:pPr>
            <w:r>
              <w:rPr>
                <w:rFonts w:hint="eastAsia" w:ascii="宋体" w:hAnsi="宋体"/>
                <w:sz w:val="22"/>
                <w:szCs w:val="22"/>
              </w:rPr>
              <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xmlns:xsi="http://www.w3.org/2001/XMLSchema-instance" xsi:nil="true"/>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xmlns:xsi="http://www.w3.org/2001/XMLSchema-instance" xsi:nil="true"/>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rsidR="0027254E" w:rsidRPr="00A756EB" w:rsidRDefault="00861252">
      <w:pPr>
        <w:outlineLvl w:val="0"/>
        <w:rPr>
          <w:rFonts w:ascii="宋体" w:hAnsi="宋体"/>
          <w:b/>
          <w:sz w:val="24"/>
        </w:rPr>
      </w:pPr>
      <w:r w:rsidRPr="00A756EB">
        <w:rPr>
          <w:rFonts w:hint="eastAsia"/>
          <w:b/>
          <w:sz w:val="24"/>
        </w:rPr>
        <w:t>（七）专项基金及持有股权的实体基本情况</w:t>
      </w:r>
    </w:p>
    <w:p>
      <w:pPr>
        <w:pStyle w:val="8"/>
        <w:numPr>
          <w:ilvl w:val="0"/>
          <w:numId w:val="1"/>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r>
              <w:rPr>
                <w:rFonts w:hint="eastAsia" w:ascii="宋体" w:hAnsi="宋体" w:cs="宋体"/>
                <w:kern w:val="0"/>
                <w:sz w:val="22"/>
                <w:szCs w:val="22"/>
              </w:rPr>
              <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 xmlns:xsi="http://www.w3.org/2001/XMLSchema-instance" xsi:nil="true"/>
            </w:r>
            <w:r>
              <w:rPr>
                <w:rFonts w:ascii="宋体" w:hAnsi="宋体" w:cs="宋体"/>
                <w:kern w:val="0"/>
                <w:sz w:val="22"/>
                <w:szCs w:val="22"/>
              </w:rPr>
              <w:t/>
            </w:r>
            <w:r>
              <w:rPr>
                <w:rFonts w:ascii="Menlo" w:hAnsi="Menlo" w:eastAsia="Times New Roman" w:cs="Menlo"/>
                <w:color w:val="222222"/>
                <w:kern w:val="0"/>
                <w:sz w:val="22"/>
                <w:szCs w:val="22"/>
                <w:shd w:val="clear" w:color="auto" w:fill="FFFFFF"/>
              </w:rPr>
              <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 xmlns:xsi="http://www.w3.org/2001/XMLSchema-instance" xsi:nil="true"/>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 xmlns:xsi="http://www.w3.org/2001/XMLSchema-instance" xsi:nil="true"/>
            </w:r>
            <w:r>
              <w:rPr>
                <w:rFonts w:ascii="宋体" w:hAnsi="宋体"/>
                <w:sz w:val="22"/>
                <w:szCs w:val="22"/>
              </w:rPr>
              <w:t/>
            </w:r>
            <w:r>
              <w:rPr>
                <w:rFonts w:ascii="Menlo" w:hAnsi="Menlo" w:eastAsia="Times New Roman" w:cs="Menlo"/>
                <w:color w:val="222222"/>
                <w:kern w:val="0"/>
                <w:sz w:val="22"/>
                <w:szCs w:val="22"/>
                <w:shd w:val="clear" w:color="auto" w:fill="FFFFFF"/>
              </w:rPr>
              <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 xmlns:xsi="http://www.w3.org/2001/XMLSchema-instance" xsi:nil="true"/>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r>
    </w:tbl>
    <w:p>
      <w:pPr>
        <w:rPr>
          <w:rFonts w:hint="eastAsia"/>
          <w:sz w:val="22"/>
          <w:szCs w:val="22"/>
        </w:rPr>
      </w:pPr>
    </w:p>
    <w:p>
      <w:pPr>
        <w:rPr>
          <w:rFonts w:hint="eastAsia"/>
        </w:rPr>
      </w:pPr>
      <w:bookmarkStart w:id="0" w:name="_GoBack"/>
      <w:bookmarkEnd w:id="0"/>
    </w:p>
    <w:p>
      <w:pPr>
        <w:rPr>
          <w:rFonts w:ascii="宋体" w:hAnsi="宋体"/>
          <w:b/>
          <w:bCs/>
          <w:sz w:val="24"/>
        </w:rPr>
      </w:pPr>
      <w:r>
        <w:rPr>
          <w:rFonts w:hint="eastAsia" w:ascii="宋体" w:hAnsi="宋体"/>
          <w:b/>
          <w:bCs/>
          <w:sz w:val="24"/>
        </w:rPr>
        <w:t>2、持有股权的实体情况</w:t>
      </w:r>
    </w:p>
    <w:tbl>
      <w:tblPr>
        <w:tblStyle w:val="4"/>
        <w:tblW w:w="10938" w:type="dxa"/>
        <w:tblInd w:w="-1181" w:type="dxa"/>
        <w:tblLayout w:type="fixed"/>
        <w:tblCellMar>
          <w:top w:w="0" w:type="dxa"/>
          <w:left w:w="108" w:type="dxa"/>
          <w:bottom w:w="0" w:type="dxa"/>
          <w:right w:w="108" w:type="dxa"/>
        </w:tblCellMar>
      </w:tblPr>
      <w:tblGrid>
        <w:gridCol w:w="528"/>
        <w:gridCol w:w="533"/>
        <w:gridCol w:w="533"/>
        <w:gridCol w:w="533"/>
        <w:gridCol w:w="533"/>
        <w:gridCol w:w="666"/>
        <w:gridCol w:w="933"/>
        <w:gridCol w:w="666"/>
        <w:gridCol w:w="799"/>
        <w:gridCol w:w="665"/>
        <w:gridCol w:w="934"/>
        <w:gridCol w:w="665"/>
        <w:gridCol w:w="533"/>
        <w:gridCol w:w="533"/>
        <w:gridCol w:w="666"/>
        <w:gridCol w:w="533"/>
        <w:gridCol w:w="685"/>
      </w:tblGrid>
      <w:tr>
        <w:tblPrEx>
          <w:tblCellMar>
            <w:top w:w="0" w:type="dxa"/>
            <w:left w:w="108" w:type="dxa"/>
            <w:bottom w:w="0" w:type="dxa"/>
            <w:right w:w="108" w:type="dxa"/>
          </w:tblCellMar>
        </w:tblPrEx>
        <w:trPr>
          <w:trHeight w:val="1572"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名称</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与本组织宗旨业务关系</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登记类型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6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33"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hint="eastAsia" w:ascii="Consolas" w:hAnsi="Consolas" w:eastAsia="Consolas"/>
                <w:i/>
                <w:color w:val="2A00FF"/>
                <w:sz w:val="20"/>
                <w:szCs w:val="24"/>
                <w:shd w:val="clear" w:color="auto" w:fill="E8F2FE"/>
              </w:rPr>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ascii="宋体" w:hAnsi="宋体" w:cs="宋体"/>
                <w:kern w:val="0"/>
                <w:sz w:val="22"/>
                <w:szCs w:val="22"/>
              </w:rPr>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p/>
    <w:p>
      <w:bookmarkStart w:id="0" w:name="_GoBack"/>
      <w:bookmarkEnd w:id="0"/>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本年度共开展了（3）项公益慈善项目，具体情况如下：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薪火基金项目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人民币182554.24元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〇 运作  ⊙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薪火基金项目计划是由北京星辰黄斑病公益基金会主办的基层医院眼科临床医生教育项目。薪火基金项目以“薪火相传，助力基层”为主题，以规范诊疗行为，帮助基层医生提高眼科医疗水平为目标。 基金会从老年学和老年眼科学会眼科学分会委员中邀请专家作为导师，有意愿进修学习的眼科医生并选择1-3位导师，填好的表格需得到所在科室主任的签字，并在指定的时间内回复项目组联系人。录取的学员通过网上学习，以及进入导师所在医院短期进修，得到导师的亲自带教。进修结束后由北京星辰黄斑病公益基金会对项目进行整体评估总结。</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光明项目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人民币259214.92元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星辰黄斑病公益基金会于2022年继续举办光明项目培训班。光明项目是黎晓新教授于2013年发起的基层中青年眼科医生培训计划。主题是“传承学术，引领未来”。目标是传承名医专家学术思想、临床经验和技术专长，拓宽中青年人才培养渠道，进一步加强我国眼底病专业人才梯队建设。与以往各届不同的是，2022年度的第六届光明项目实行线上学习 + 在线考核 + 线下短期进修的形式。第一步：线上学习学员可以随时在基金会官网学习。用户名与密码均为报名时提供的手机号。第二步：在线考试。集中测试，每三个月组织一次在线考试，题库随机抽题，每期择优录取学员进入下一步培训。第三步：线下跟随导师进修学习，在导师科室进行为期一个星期的学习。</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眼科医疗质量与安全经验交流研讨会（PPP）</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人民币669206.01元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北京星辰黄斑病公益基金会资助开展了眼科医疗质量与安全经验交流研讨会，讨论制定了“糖尿病视网膜病变临床指南”。</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 xml:space="preserve">单位名称：北京星辰黄斑病公益基金会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7111630.70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7933650.06</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565.80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4200.00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39945.40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15480.00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7111630.70</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7933650.06</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5565.80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55425.40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20507.47</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25425.81</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10246.53</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5328.19</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5565.80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55425.40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10246.53</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5328.19</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7116311.43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7883552.85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7116311.43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7883552.85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7121877.23</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7938978.25</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7121877.23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7938978.25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2282211.76</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2282211.76</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2123588.00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2123588.00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244083.28</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244083.28</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488166.56</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4222.45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4222.45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2526295.04</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244083.28</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2770378.32</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2127810.45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2127810.45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914084.79</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914084.79</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1828169.58</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1349688.17</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1349688.17</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16611.60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16611.60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10716.36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10716.36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752.00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752.00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931448.39</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914084.79</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1845533.18</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1360571.03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1360571.03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1594846.65</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1594846.65</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767241.42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767241.42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编制单位：北京星辰黄斑病公益基金会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2123588.00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270132.22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2393720.22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172915.22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1349686.17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49099.47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1571700.86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822019.36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822019.36</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3"/>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r>
              <w:rPr>
                <w:rFonts w:hint="eastAsia" w:asciiTheme="minorEastAsia" w:hAnsiTheme="minorEastAsia" w:eastAsiaTheme="minorEastAsia"/>
                <w:color w:val="FF0000"/>
                <w:sz w:val="22"/>
                <w:szCs w:val="22"/>
              </w:rPr>
              <w:t/>
            </w:r>
            <w:r>
              <w:rPr>
                <w:rFonts w:hint="eastAsia" w:cs="宋体" w:asciiTheme="minorEastAsia" w:hAnsiTheme="minorEastAsia" w:eastAsiaTheme="minorEastAsia"/>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